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Проект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Субъект правотворческой инициативы – глава администрации города Рязани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Разработчик – управление экономики администрации города Рязани</w:t>
      </w:r>
    </w:p>
    <w:p>
      <w:pPr>
        <w:pStyle w:val="style0"/>
        <w:jc w:val="center"/>
        <w:suppressAutoHyphens w:val="true"/>
      </w:pPr>
      <w:r>
        <w:rPr>
          <w:sz w:val="24"/>
          <w:b/>
          <w:szCs w:val="24"/>
        </w:rPr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>РЯЗАНСКАЯ ГОРОДСКАЯ ДУМА</w:t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>РЕШЕНИЕ</w:t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jc w:val="center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bookmarkStart w:id="0" w:name="__DdeLink__2178_1620643134"/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>О внесении изменений в План стратегического ра</w:t>
      </w:r>
      <w:bookmarkEnd w:id="0"/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 xml:space="preserve">звития </w:t>
      </w:r>
    </w:p>
    <w:p>
      <w:pPr>
        <w:pStyle w:val="style0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>города Рязани до 2020 года, утвержденный решением</w:t>
      </w:r>
    </w:p>
    <w:p>
      <w:pPr>
        <w:pStyle w:val="style0"/>
        <w:suppressAutoHyphens w:val="true"/>
        <w:spacing w:after="0" w:before="0" w:line="100" w:lineRule="atLeast"/>
      </w:pPr>
      <w:bookmarkStart w:id="1" w:name="__DdeLink__2178_1620643134"/>
      <w:bookmarkEnd w:id="1"/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  <w:t>Рязанской городской Думы от 26.03.2009 № 169-I</w:t>
      </w:r>
    </w:p>
    <w:p>
      <w:pPr>
        <w:pStyle w:val="style0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8"/>
          <w:rFonts w:ascii="Times New Roman" w:cs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Рассмотрев обращение главы администрации города Рязани </w:t>
        <w:br/>
        <w:t xml:space="preserve">(от___________ № _______), руководствуясь Федеральным </w:t>
      </w:r>
      <w:hyperlink r:id="rId2">
        <w:r>
          <w:rPr>
            <w:sz w:val="28"/>
            <w:szCs w:val="28"/>
            <w:rStyle w:val="style19"/>
            <w:rFonts w:ascii="Times New Roman" w:cs="Times New Roman" w:hAnsi="Times New Roman"/>
          </w:rPr>
          <w:t>законом</w:t>
        </w:r>
      </w:hyperlink>
      <w:r>
        <w:rPr>
          <w:sz w:val="28"/>
          <w:szCs w:val="28"/>
          <w:rFonts w:ascii="Times New Roman" w:cs="Times New Roman" w:hAnsi="Times New Roman"/>
        </w:rPr>
        <w:t xml:space="preserve"> </w:t>
        <w:br/>
        <w:t xml:space="preserve">от 06.10.2003 № 131-ФЗ «Об общих принципах организации местного самоуправления в Российской Федерации», </w:t>
      </w:r>
      <w:hyperlink r:id="rId3">
        <w:r>
          <w:rPr>
            <w:sz w:val="28"/>
            <w:szCs w:val="28"/>
            <w:rStyle w:val="style19"/>
            <w:rFonts w:ascii="Times New Roman" w:cs="Times New Roman" w:hAnsi="Times New Roman"/>
          </w:rPr>
          <w:t>Уставом</w:t>
        </w:r>
      </w:hyperlink>
      <w:r>
        <w:rPr>
          <w:sz w:val="28"/>
          <w:szCs w:val="28"/>
          <w:rFonts w:ascii="Times New Roman" w:cs="Times New Roman" w:hAnsi="Times New Roman"/>
        </w:rPr>
        <w:t xml:space="preserve"> муниципального образования - городской округ  город Рязань Рязанской области, Рязанская городская Дума решила:</w:t>
      </w:r>
    </w:p>
    <w:p>
      <w:pPr>
        <w:pStyle w:val="style29"/>
        <w:numPr>
          <w:ilvl w:val="0"/>
          <w:numId w:val="2"/>
        </w:numPr>
        <w:jc w:val="both"/>
        <w:tabs>
          <w:tab w:leader="none" w:pos="993" w:val="left"/>
        </w:tabs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Внести в План стратегического развития города Рязани до 2020 года, утвержденный решением Рязанской городской Думы от 26.03.2009 № 169-I «Об утверждении Плана стратегического развития города Рязани до 2020 года» (далее – Стратегический план) следующие изменения: </w:t>
      </w:r>
    </w:p>
    <w:p>
      <w:pPr>
        <w:pStyle w:val="style0"/>
        <w:jc w:val="both"/>
        <w:tabs>
          <w:tab w:leader="none" w:pos="993" w:val="left"/>
        </w:tabs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а) таблицу 2 «Динамика основных социально-экономических показателей развития города Рязани за период 2008 - 2011 годы, фактические значения показателей в 2012 году и ожидаемые ориентиры на 2020 год» части 6 «Механизм мониторинга и контроля реализации Стратегического плана»</w:t>
      </w:r>
      <w:r>
        <w:rPr/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изложить в новой редакции согласно приложению № 1 к настоящему решению; </w:t>
      </w:r>
    </w:p>
    <w:p>
      <w:pPr>
        <w:pStyle w:val="style0"/>
        <w:jc w:val="both"/>
        <w:tabs>
          <w:tab w:leader="none" w:pos="993" w:val="left"/>
        </w:tabs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б) таблицу 3 «Индикаторы реализации задач в рамках Стратегического плана» части 6 «Механизм мониторинга и контроля реализации Стратегического плана» изложить в новой редакции согласно приложению № 2 к настоящему решению.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 Настоящее решение вступает в силу на следующий день после дня его официального опубликования.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 Разместить настоящее решение на официальном сайте Рязанской городской Думы в сети Интернет.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 Контроль за исполнением настоящего решения возложить на комитет по бюджету и налогам Рязанской городской Думы (Трушина Г.В.).</w:t>
      </w:r>
    </w:p>
    <w:p>
      <w:pPr>
        <w:pStyle w:val="style30"/>
        <w:jc w:val="both"/>
        <w:tabs>
          <w:tab w:leader="underscore" w:pos="9398" w:val="left"/>
        </w:tabs>
        <w:ind w:firstLine="709" w:left="0" w:right="0"/>
        <w:shd w:fill="FFFFFF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tabs>
          <w:tab w:leader="underscore" w:pos="9398" w:val="left"/>
        </w:tabs>
        <w:ind w:firstLine="725" w:left="0" w:right="0"/>
        <w:shd w:fill="FFFF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tabs>
          <w:tab w:leader="none" w:pos="7088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Глава муниципального образования,</w:t>
      </w:r>
    </w:p>
    <w:p>
      <w:pPr>
        <w:pStyle w:val="style0"/>
        <w:jc w:val="both"/>
        <w:tabs>
          <w:tab w:leader="none" w:pos="7088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председатель Рязанской городской Думы </w:t>
        <w:tab/>
        <w:tab/>
        <w:tab/>
        <w:t xml:space="preserve">   А.А.Кашаев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sectPr>
          <w:formProt w:val="off"/>
          <w:pgSz w:h="16838" w:w="11906"/>
          <w:docGrid w:charSpace="4096" w:linePitch="240" w:type="default"/>
          <w:textDirection w:val="lrTb"/>
          <w:pgNumType w:fmt="decimal"/>
          <w:type w:val="nextPage"/>
          <w:pgMar w:bottom="1135" w:left="1133" w:right="565" w:top="720"/>
        </w:sectPr>
        <w:pStyle w:val="style0"/>
        <w:tabs>
          <w:tab w:leader="none" w:pos="7560" w:val="left"/>
        </w:tabs>
        <w:spacing w:after="0" w:before="0" w:line="100" w:lineRule="atLeast"/>
      </w:pPr>
      <w:r>
        <w:rPr/>
      </w:r>
    </w:p>
    <w:p>
      <w:pPr>
        <w:pStyle w:val="style0"/>
        <w:jc w:val="center"/>
        <w:tabs>
          <w:tab w:leader="none" w:pos="10064" w:val="center"/>
          <w:tab w:leader="none" w:pos="12947" w:val="left"/>
          <w:tab w:leader="none" w:pos="14742" w:val="right"/>
        </w:tabs>
        <w:ind w:hanging="0" w:left="5387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Приложение № 1</w:t>
      </w:r>
    </w:p>
    <w:p>
      <w:pPr>
        <w:pStyle w:val="style0"/>
        <w:jc w:val="center"/>
        <w:tabs>
          <w:tab w:leader="none" w:pos="10064" w:val="center"/>
          <w:tab w:leader="none" w:pos="12947" w:val="left"/>
          <w:tab w:leader="none" w:pos="14742" w:val="right"/>
        </w:tabs>
        <w:ind w:hanging="0" w:left="5387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к решению Рязанской городской Думы</w:t>
      </w:r>
    </w:p>
    <w:p>
      <w:pPr>
        <w:pStyle w:val="style0"/>
        <w:jc w:val="center"/>
        <w:tabs>
          <w:tab w:leader="none" w:pos="10064" w:val="center"/>
          <w:tab w:leader="none" w:pos="12947" w:val="left"/>
          <w:tab w:leader="none" w:pos="14742" w:val="right"/>
        </w:tabs>
        <w:ind w:hanging="0" w:left="5387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от ____________ 2015 г. № _________</w:t>
      </w:r>
    </w:p>
    <w:p>
      <w:pPr>
        <w:pStyle w:val="style0"/>
        <w:tabs>
          <w:tab w:leader="none" w:pos="4677" w:val="center"/>
          <w:tab w:leader="none" w:pos="7560" w:val="left"/>
          <w:tab w:leader="none" w:pos="9355" w:val="right"/>
        </w:tabs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34"/>
        <w:jc w:val="right"/>
      </w:pPr>
      <w:r>
        <w:rPr>
          <w:sz w:val="28"/>
          <w:szCs w:val="28"/>
        </w:rPr>
        <w:t>Таблица 2</w:t>
      </w:r>
    </w:p>
    <w:p>
      <w:pPr>
        <w:pStyle w:val="style34"/>
        <w:jc w:val="both"/>
      </w:pPr>
      <w:r>
        <w:rPr>
          <w:sz w:val="28"/>
          <w:szCs w:val="28"/>
        </w:rPr>
      </w:r>
    </w:p>
    <w:p>
      <w:pPr>
        <w:pStyle w:val="style34"/>
        <w:jc w:val="center"/>
      </w:pPr>
      <w:r>
        <w:rPr>
          <w:sz w:val="28"/>
          <w:szCs w:val="28"/>
        </w:rPr>
      </w:r>
    </w:p>
    <w:p>
      <w:pPr>
        <w:pStyle w:val="style34"/>
        <w:jc w:val="center"/>
      </w:pPr>
      <w:r>
        <w:rPr>
          <w:sz w:val="28"/>
          <w:szCs w:val="28"/>
        </w:rPr>
        <w:t>Динамика основных социально-экономических показателей</w:t>
      </w:r>
    </w:p>
    <w:p>
      <w:pPr>
        <w:pStyle w:val="style34"/>
        <w:jc w:val="center"/>
      </w:pPr>
      <w:r>
        <w:rPr>
          <w:sz w:val="28"/>
          <w:szCs w:val="28"/>
        </w:rPr>
        <w:t xml:space="preserve">развития города Рязани 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этапов реализации </w:t>
      </w:r>
    </w:p>
    <w:p>
      <w:pPr>
        <w:pStyle w:val="style34"/>
        <w:jc w:val="center"/>
      </w:pPr>
      <w:r>
        <w:rPr>
          <w:sz w:val="28"/>
          <w:szCs w:val="28"/>
        </w:rPr>
        <w:t>Стратегического плана и ожидаемые ориентиры на 2020 год</w:t>
      </w:r>
    </w:p>
    <w:p>
      <w:pPr>
        <w:pStyle w:val="style34"/>
        <w:jc w:val="center"/>
      </w:pPr>
      <w:r>
        <w:rPr>
          <w:sz w:val="28"/>
          <w:szCs w:val="28"/>
        </w:rPr>
      </w:r>
    </w:p>
    <w:tbl>
      <w:tblPr>
        <w:tblBorders>
          <w:top w:color="00000A" w:space="0" w:sz="8" w:val="single"/>
          <w:left w:color="00000A" w:space="0" w:sz="8" w:val="single"/>
          <w:right w:color="00000A" w:space="0" w:sz="8" w:val="single"/>
        </w:tblBorders>
        <w:jc w:val="left"/>
      </w:tblPr>
      <w:tblGrid>
        <w:gridCol w:w="2976"/>
        <w:gridCol w:w="4404"/>
        <w:gridCol w:w="5832"/>
        <w:gridCol w:w="8689"/>
        <w:gridCol w:w="8690"/>
      </w:tblGrid>
      <w:tr>
        <w:trPr>
          <w:trHeight w:hRule="atLeast" w:val="240"/>
          <w:cantSplit w:val="off"/>
        </w:trPr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Показатели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Единица</w:t>
            </w:r>
          </w:p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измерения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2008 г.</w:t>
            </w:r>
          </w:p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(базовый)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2"/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Достигнутые значения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86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2020 г.</w:t>
            </w:r>
          </w:p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(прогноз)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2011 г.</w:t>
            </w:r>
          </w:p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(I этап)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2014 г.</w:t>
            </w:r>
          </w:p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(</w:t>
            </w:r>
            <w:r>
              <w:rPr>
                <w:sz w:val="28"/>
                <w:szCs w:val="28"/>
                <w:rFonts w:ascii="Times New Roman" w:cs="Times New Roman" w:hAnsi="Times New Roman"/>
                <w:lang w:val="en-US"/>
              </w:rPr>
              <w:t xml:space="preserve">II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этап)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6"/>
            <w:shd w:fill="auto"/>
            <w:tcW w:type="dxa" w:w="168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Пространственное развитие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Общая площадь территории городского округа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га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22416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22416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22394,1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34600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6"/>
            <w:shd w:fill="auto"/>
            <w:tcW w:type="dxa" w:w="168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Динамика и структура населения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Общая численность населения (среднегодовая)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тыс. чел.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524,6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525,1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531,6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550,0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6"/>
            <w:shd w:fill="auto"/>
            <w:tcW w:type="dxa" w:w="168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Уровень жизни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Уровень покрытия прожиточного минимума уровнем среднемесячной заработной платы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раз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3,7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3,5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4,2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4,0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6"/>
            <w:shd w:fill="auto"/>
            <w:tcW w:type="dxa" w:w="168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Рынок труда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Уровень безработицы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0,5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0,4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0,27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0,3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6"/>
            <w:shd w:fill="auto"/>
            <w:tcW w:type="dxa" w:w="168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Экономика города</w:t>
            </w:r>
          </w:p>
        </w:tc>
      </w:tr>
      <w:tr>
        <w:trPr>
          <w:trHeight w:hRule="atLeast" w:val="240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297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Индекс промышленного производства к уровню базового года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440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583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102,6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726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104,0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86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117,3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11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125,0 </w:t>
            </w:r>
          </w:p>
        </w:tc>
      </w:tr>
    </w:tbl>
    <w:p>
      <w:pPr>
        <w:sectPr>
          <w:formProt w:val="off"/>
          <w:pgSz w:h="16838" w:w="11906"/>
          <w:docGrid w:charSpace="4096" w:linePitch="240" w:type="default"/>
          <w:textDirection w:val="lrTb"/>
          <w:pgNumType w:fmt="decimal"/>
          <w:type w:val="nextPage"/>
          <w:pgMar w:bottom="709" w:left="1133" w:right="565" w:top="720"/>
        </w:sectPr>
        <w:pStyle w:val="style0"/>
        <w:jc w:val="right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center"/>
        <w:tabs>
          <w:tab w:leader="none" w:pos="17625" w:val="left"/>
        </w:tabs>
        <w:ind w:hanging="0" w:left="10065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Приложение № 2</w:t>
      </w:r>
    </w:p>
    <w:p>
      <w:pPr>
        <w:pStyle w:val="style0"/>
        <w:jc w:val="center"/>
        <w:tabs>
          <w:tab w:leader="none" w:pos="17625" w:val="left"/>
        </w:tabs>
        <w:ind w:hanging="0" w:left="10065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к решению Рязанской городской Думы</w:t>
      </w:r>
    </w:p>
    <w:p>
      <w:pPr>
        <w:pStyle w:val="style0"/>
        <w:jc w:val="center"/>
        <w:tabs>
          <w:tab w:leader="none" w:pos="17625" w:val="left"/>
        </w:tabs>
        <w:ind w:hanging="0" w:left="10065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  <w:t>от ____________ 2015 г. № _________</w:t>
      </w:r>
    </w:p>
    <w:p>
      <w:pPr>
        <w:pStyle w:val="style0"/>
        <w:tabs>
          <w:tab w:leader="none" w:pos="17625" w:val="left"/>
        </w:tabs>
        <w:ind w:hanging="0" w:left="10065" w:right="0"/>
      </w:pPr>
      <w:r>
        <w:rPr>
          <w:sz w:val="28"/>
          <w:szCs w:val="28"/>
          <w:rFonts w:ascii="Times New Roman" w:cs="Times New Roman" w:eastAsia="Times New Roman" w:hAnsi="Times New Roman"/>
          <w:lang w:eastAsia="zh-CN"/>
        </w:rPr>
      </w:r>
    </w:p>
    <w:p>
      <w:pPr>
        <w:pStyle w:val="style0"/>
        <w:jc w:val="right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Таблица 3</w:t>
      </w:r>
    </w:p>
    <w:p>
      <w:pPr>
        <w:pStyle w:val="style34"/>
        <w:jc w:val="both"/>
      </w:pPr>
      <w:r>
        <w:rPr>
          <w:sz w:val="28"/>
          <w:szCs w:val="28"/>
        </w:rPr>
      </w:r>
    </w:p>
    <w:p>
      <w:pPr>
        <w:pStyle w:val="style34"/>
        <w:jc w:val="center"/>
      </w:pPr>
      <w:r>
        <w:rPr>
          <w:sz w:val="28"/>
          <w:szCs w:val="28"/>
        </w:rPr>
        <w:t>Индикаторы реализации задач в рамках Стратегического плана</w:t>
      </w:r>
    </w:p>
    <w:p>
      <w:pPr>
        <w:pStyle w:val="style34"/>
        <w:jc w:val="both"/>
      </w:pPr>
      <w:r>
        <w:rPr>
          <w:sz w:val="28"/>
          <w:szCs w:val="28"/>
        </w:rPr>
      </w:r>
    </w:p>
    <w:tbl>
      <w:tblPr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</w:tblBorders>
        <w:jc w:val="left"/>
      </w:tblPr>
      <w:tblGrid>
        <w:gridCol w:w="992"/>
        <w:gridCol w:w="3967"/>
        <w:gridCol w:w="5243"/>
        <w:gridCol w:w="5244"/>
        <w:gridCol w:w="6490"/>
        <w:gridCol w:w="7789"/>
      </w:tblGrid>
      <w:tr>
        <w:trPr>
          <w:tblHeader w:val="true"/>
          <w:trHeight w:hRule="atLeast" w:val="240"/>
          <w:cantSplit w:val="on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restart"/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№ 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п/п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restart"/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Индикатор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restart"/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Единица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измерения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2008 г.</w:t>
            </w:r>
          </w:p>
          <w:p>
            <w:pPr>
              <w:pStyle w:val="style34"/>
              <w:jc w:val="center"/>
            </w:pPr>
            <w:r>
              <w:rPr/>
              <w:t>(базовый)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Достигнутые значения индикаторов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7"/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Целевые значения индикаторов</w:t>
            </w:r>
          </w:p>
        </w:tc>
      </w:tr>
      <w:tr>
        <w:trPr>
          <w:tblHeader w:val="true"/>
          <w:trHeight w:hRule="atLeast" w:val="240"/>
          <w:cantSplit w:val="on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left w:color="00000A" w:space="0" w:sz="8" w:val="single"/>
              <w:right w:color="00000A" w:space="0" w:sz="8" w:val="single"/>
            </w:tcBorders>
            <w:vMerge w:val="continue"/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  <w:ind w:hanging="0" w:left="0" w:right="-12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2011 г.</w:t>
            </w:r>
          </w:p>
          <w:p>
            <w:pPr>
              <w:pStyle w:val="style34"/>
              <w:jc w:val="center"/>
              <w:ind w:hanging="0" w:left="0" w:right="-12"/>
            </w:pPr>
            <w:r>
              <w:rPr>
                <w:sz w:val="22"/>
              </w:rPr>
              <w:t>(по итогам I этапа)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vMerge w:val="restart"/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  <w:ind w:hanging="0" w:left="0" w:right="-12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2014 г.</w:t>
            </w:r>
          </w:p>
          <w:p>
            <w:pPr>
              <w:pStyle w:val="style35"/>
              <w:jc w:val="center"/>
              <w:ind w:hanging="0" w:left="0" w:right="-12"/>
            </w:pPr>
            <w:r>
              <w:rPr>
                <w:sz w:val="22"/>
                <w:szCs w:val="24"/>
                <w:rFonts w:ascii="Times New Roman" w:cs="Times New Roman" w:hAnsi="Times New Roman"/>
              </w:rPr>
              <w:t>(по итогам II этапа)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III этап 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gridSpan w:val="5"/>
            <w:shd w:fill="auto"/>
            <w:tcW w:type="dxa" w:w="1038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IV этап </w:t>
            </w:r>
          </w:p>
        </w:tc>
      </w:tr>
      <w:tr>
        <w:trPr>
          <w:tblHeader w:val="true"/>
          <w:cantSplit w:val="on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vMerge w:val="continue"/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2015 г.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2016 г.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2017 г.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2018 г.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2019 г.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2020 г.</w:t>
            </w:r>
          </w:p>
        </w:tc>
      </w:tr>
      <w:tr>
        <w:trPr>
          <w:tblHeader w:val="true"/>
          <w:trHeight w:hRule="atLeast" w:val="240"/>
          <w:cantSplit w:val="on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12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Направление: Развитие человеческого капитала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образования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1.1.1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 возрасте 1 - 6 лет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22,7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6,5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1.1.2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от 3 до 7 лет, получающих дошкольное образование в текущем году, и численности детей от 3 до 7 лет, находящихся в очереди на получение в текущем году дошкольного образования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99,6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6"/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1.1.3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73,8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82,5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82,5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82,6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82,6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82,8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83,0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83,0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1.1.4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детей от 5 до 18 лет, получающих услуги по дополнительному образованию в образовательных учреждениях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63,8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62,0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62,5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63,0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63,5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64,0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64,5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1.1.5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 предметам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77,2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99,3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6"/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97,0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1.1.6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школьников, обучающихся по ФГОС, в общей численности обучающихся </w:t>
            </w:r>
          </w:p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46,0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74,0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92,0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96,0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физкультуры и массового спорта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1.2.1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детей от 5 до 18 лет, получающих услуги по дополнительному образованию в учреждениях физкультуры и спорта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38,5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49,5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49,0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49,3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49,7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50,7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1.2.2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населения в возрасте от 3 до 79 лет, систематически занимающегося физкультурой и спортом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32,1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33,6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35,1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36,6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38,1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39,6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40,0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1.3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культуры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1.3.1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детей от 5 до 18 лет, получающих услуги по дополнительному образованию в учреждениях сферы культуры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11,6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12,7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13,9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15,0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1.3.2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населения, участвующего в общегородских культурно-досуговых мероприятиях, организованных органами местного самоуправления городских округов и муниципальных районов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11,8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12,0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13,1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16,4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18,2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Направление: Экономический рост на основе инноваций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Экономическое развитие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2.1.1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44,7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39,1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38,5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6"/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38,8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2.1.2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Объем инвестиций в основной капитал (без субъектов малого предпринимательства, параметров неформальной деятельности и за исключением бюджетных средств) в расчете на одного жителя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тыс.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рублей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44,7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37,7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42,5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46,7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52,3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57,0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61,7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Направление: Качественная городская среда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жилищно-коммунального комплекса и энергосбережение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3.1.1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Удельный вес общей площади жилого фонда, обеспеченной основными видами коммунальных услуг (водоснабжение, водоотведение, газоснабжение)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81,5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96,1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96,3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97,1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97,4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97,6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97,8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98,2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98,8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3.1.2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Удельная величина потребления энергетических ресурсов муниципальными бюджетными учреждениями, </w:t>
            </w:r>
          </w:p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 том числе: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  <w:ind w:hanging="0" w:left="0" w:right="-4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3.1.2.1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электрическая энергия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кВт*ч на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 кв. м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муници-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пальной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площади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29,8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29,2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23,9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22,5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22,1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3.1.2.2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тепловая энергия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Гкал на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 кв. м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муници-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пальной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площади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0,265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0,260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0,190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0,190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0,190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0,185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0,185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0,185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0,180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3.1.2.3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горячая вода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куб. м на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 кв. м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муници-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пальной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площади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0,78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0,81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0,22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3.1.2.4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холодная вода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куб.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метров на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 кв. м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муници-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пальной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площади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1,59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0,90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3.1.2.5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природный газ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куб.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метров на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 кв. м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муници-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пальной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площади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3,52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3,01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4,52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4,50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4,50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4,45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4,45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4,40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4,40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Благоустройство города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3.2.1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Удельный вес улиц,  обеспеченных уличным освещением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74,9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75,8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76,0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80,8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85,6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90,4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95,2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3.2.2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Площадь парков, скверов, бульваров и зеленых зон на территории города Рязани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га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506,0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518,0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520,0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521,5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527,2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532,9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538,6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544,3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550,0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3.2.3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Удельный вес улиц и дорог, убираемых механизированным способом: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- в зимний период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6"/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100,0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- в летний период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63,0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67,0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67,0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4"/>
            <w:shd w:fill="auto"/>
            <w:tcW w:type="dxa" w:w="1168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100,0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Дорожное хозяйство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3.3.1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 местного значения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77,0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54,0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48,0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45,0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Охрана окружающей среды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3.4.1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Доля муниципальных водных объектов, охваченных работами по их реабилитации, от общего количества муниципальных водных объектов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3.4.2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Количество территорий зеленого фонда, на которых проведены мероприятия по восстановлению зеленых насаждений (нарастающим итогом)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ед.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372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422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477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587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642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700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транспортной системы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3.5.1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Общая протяженность маршрутов общественного транспорта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км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410,0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425,1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461,0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470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480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490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510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510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3.5.2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Средняя скорость движения </w:t>
            </w:r>
          </w:p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Общественного транспорта по городу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км/ч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15,0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15,5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16,0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16,5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17,0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Обеспечение безопасности и общественного порядка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3.6.1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Количество народных дружинников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чел.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180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565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6"/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450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3.6.2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Количество детей и подростков, принявших участие в мероприятиях, направленных на профилактику -безнадзорности и правонарушений несовершеннолетних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чел.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5700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5800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5900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6000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6100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Направление: Сбалансированное пространственное развитие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Реализация жилищной политики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4.1.1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Общая площадь жилых помещений, приходящаяся в среднем на одного жителя</w:t>
            </w:r>
          </w:p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кв.</w:t>
            </w:r>
          </w:p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метров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23,0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24,0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25,3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26,3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26,95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27,0,6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28,25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28,9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29,55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4.1.2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населения, получившего жилые 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1,0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2,6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3,1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Направление: Эффективный менеджмент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5.1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10"/>
            <w:shd w:fill="auto"/>
            <w:tcW w:type="dxa" w:w="2596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Задача: Развитие муниципального управления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5.1.1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17,8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48,9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60,9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327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61,1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441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55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61,5</w:t>
            </w:r>
          </w:p>
        </w:tc>
      </w:tr>
      <w:tr>
        <w:trPr>
          <w:trHeight w:hRule="atLeast" w:val="240"/>
          <w:cantSplit w:val="on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92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5.1.2 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396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both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3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%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5244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490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7789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9087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0978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80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12125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85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gridSpan w:val="3"/>
            <w:shd w:fill="auto"/>
            <w:tcW w:type="dxa" w:w="12981"/>
            <w:tcMar>
              <w:top w:type="dxa" w:w="75"/>
              <w:left w:type="dxa" w:w="40"/>
              <w:bottom w:type="dxa" w:w="75"/>
              <w:right w:type="dxa" w:w="40"/>
            </w:tcMar>
          </w:tcPr>
          <w:p>
            <w:pPr>
              <w:pStyle w:val="style35"/>
              <w:jc w:val="center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не менее 90</w:t>
            </w:r>
          </w:p>
        </w:tc>
      </w:tr>
    </w:tbl>
    <w:p>
      <w:pPr>
        <w:pStyle w:val="style0"/>
        <w:jc w:val="right"/>
        <w:spacing w:after="0" w:before="0" w:line="100" w:lineRule="atLeast"/>
      </w:pPr>
      <w:r>
        <w:rPr/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565" w:left="709" w:right="1276" w:top="72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1070"/>
      </w:pPr>
    </w:lvl>
    <w:lvl w:ilvl="1">
      <w:start w:val="1"/>
      <w:numFmt w:val="decimal"/>
      <w:lvlJc w:val="left"/>
      <w:lvlText w:val="%1.%2."/>
      <w:pPr>
        <w:ind w:hanging="360" w:left="1523"/>
      </w:pPr>
    </w:lvl>
    <w:lvl w:ilvl="2">
      <w:start w:val="1"/>
      <w:numFmt w:val="decimal"/>
      <w:lvlJc w:val="left"/>
      <w:lvlText w:val="%1.%2.%3."/>
      <w:pPr>
        <w:ind w:hanging="720" w:left="2150"/>
      </w:pPr>
    </w:lvl>
    <w:lvl w:ilvl="3">
      <w:start w:val="1"/>
      <w:numFmt w:val="decimal"/>
      <w:lvlJc w:val="left"/>
      <w:lvlText w:val="%1.%2.%3.%4."/>
      <w:pPr>
        <w:ind w:hanging="720" w:left="2510"/>
      </w:pPr>
    </w:lvl>
    <w:lvl w:ilvl="4">
      <w:start w:val="1"/>
      <w:numFmt w:val="decimal"/>
      <w:lvlJc w:val="left"/>
      <w:lvlText w:val="%1.%2.%3.%4.%5."/>
      <w:pPr>
        <w:ind w:hanging="1080" w:left="3230"/>
      </w:pPr>
    </w:lvl>
    <w:lvl w:ilvl="5">
      <w:start w:val="1"/>
      <w:numFmt w:val="decimal"/>
      <w:lvlJc w:val="left"/>
      <w:lvlText w:val="%1.%2.%3.%4.%5.%6."/>
      <w:pPr>
        <w:ind w:hanging="1080" w:left="3590"/>
      </w:pPr>
    </w:lvl>
    <w:lvl w:ilvl="6">
      <w:start w:val="1"/>
      <w:numFmt w:val="decimal"/>
      <w:lvlJc w:val="left"/>
      <w:lvlText w:val="%1.%2.%3.%4.%5.%6.%7."/>
      <w:pPr>
        <w:ind w:hanging="1440" w:left="4310"/>
      </w:pPr>
    </w:lvl>
    <w:lvl w:ilvl="7">
      <w:start w:val="1"/>
      <w:numFmt w:val="decimal"/>
      <w:lvlJc w:val="left"/>
      <w:lvlText w:val="%1.%2.%3.%4.%5.%6.%7.%8."/>
      <w:pPr>
        <w:ind w:hanging="1440" w:left="4670"/>
      </w:pPr>
    </w:lvl>
    <w:lvl w:ilvl="8">
      <w:start w:val="1"/>
      <w:numFmt w:val="decimal"/>
      <w:lvlJc w:val="left"/>
      <w:lvlText w:val="%1.%2.%3.%4.%5.%6.%7.%8.%9."/>
      <w:pPr>
        <w:ind w:hanging="1800" w:left="539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" w:type="paragraph">
    <w:name w:val="Заголовок 1"/>
    <w:basedOn w:val="style0"/>
    <w:next w:val="style25"/>
    <w:pPr>
      <w:spacing w:after="28" w:before="28" w:line="100" w:lineRule="atLeast"/>
    </w:pPr>
    <w:rPr>
      <w:sz w:val="48"/>
      <w:b/>
      <w:szCs w:val="48"/>
      <w:bCs/>
      <w:rFonts w:ascii="Times New Roman" w:cs="Times New Roman" w:eastAsia="Times New Roman" w:hAnsi="Times New Roman"/>
      <w:lang w:eastAsia="ru-RU"/>
    </w:rPr>
  </w:style>
  <w:style w:styleId="style2" w:type="paragraph">
    <w:name w:val="Заголовок 2"/>
    <w:basedOn w:val="style0"/>
    <w:next w:val="style25"/>
    <w:pPr>
      <w:outlineLvl w:val="1"/>
      <w:numPr>
        <w:ilvl w:val="1"/>
        <w:numId w:val="1"/>
      </w:numPr>
      <w:spacing w:after="28" w:before="28" w:line="100" w:lineRule="atLeast"/>
    </w:pPr>
    <w:rPr>
      <w:sz w:val="36"/>
      <w:b/>
      <w:szCs w:val="36"/>
      <w:bCs/>
      <w:rFonts w:ascii="Times New Roman" w:cs="Times New Roman" w:eastAsia="Times New Roman" w:hAnsi="Times New Roman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/>
  </w:style>
  <w:style w:styleId="style17" w:type="character">
    <w:name w:val="Заголовок 2 Знак"/>
    <w:basedOn w:val="style15"/>
    <w:next w:val="style17"/>
    <w:rPr/>
  </w:style>
  <w:style w:styleId="style18" w:type="character">
    <w:name w:val="apple-converted-space"/>
    <w:basedOn w:val="style15"/>
    <w:next w:val="style18"/>
    <w:rPr/>
  </w:style>
  <w:style w:styleId="style19" w:type="character">
    <w:name w:val="Интернет-ссылка"/>
    <w:basedOn w:val="style15"/>
    <w:next w:val="style19"/>
    <w:rPr>
      <w:color w:val="0000FF"/>
      <w:u w:val="single"/>
      <w:lang w:bidi="ru-RU" w:eastAsia="ru-RU" w:val="ru-RU"/>
    </w:rPr>
  </w:style>
  <w:style w:styleId="style20" w:type="character">
    <w:name w:val="Верхний колонтитул Знак"/>
    <w:basedOn w:val="style15"/>
    <w:next w:val="style20"/>
    <w:rPr/>
  </w:style>
  <w:style w:styleId="style21" w:type="character">
    <w:name w:val="Нижний колонтитул Знак"/>
    <w:basedOn w:val="style15"/>
    <w:next w:val="style21"/>
    <w:rPr/>
  </w:style>
  <w:style w:styleId="style22" w:type="character">
    <w:name w:val="Subtle Reference"/>
    <w:basedOn w:val="style15"/>
    <w:next w:val="style22"/>
    <w:rPr/>
  </w:style>
  <w:style w:styleId="style23" w:type="character">
    <w:name w:val="Текст выноски Знак"/>
    <w:basedOn w:val="style15"/>
    <w:next w:val="style23"/>
    <w:rPr/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ascii="Arial" w:cs="Mangal" w:hAnsi="Arial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8" w:type="paragraph">
    <w:name w:val="Указатель"/>
    <w:basedOn w:val="style0"/>
    <w:next w:val="style28"/>
    <w:pPr>
      <w:suppressLineNumbers/>
    </w:pPr>
    <w:rPr>
      <w:rFonts w:ascii="Arial" w:cs="Mangal" w:hAnsi="Arial"/>
    </w:rPr>
  </w:style>
  <w:style w:styleId="style29" w:type="paragraph">
    <w:name w:val="List Paragraph"/>
    <w:basedOn w:val="style0"/>
    <w:next w:val="style29"/>
    <w:pPr/>
    <w:rPr/>
  </w:style>
  <w:style w:styleId="style30" w:type="paragraph">
    <w:name w:val="ConsPlusDocList"/>
    <w:next w:val="style30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31" w:type="paragraph">
    <w:name w:val="Верхний колонтитул"/>
    <w:basedOn w:val="style0"/>
    <w:next w:val="style31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32" w:type="paragraph">
    <w:name w:val="Нижний колонтитул"/>
    <w:basedOn w:val="style0"/>
    <w:next w:val="style32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33" w:type="paragraph">
    <w:name w:val="ConsPlusCell"/>
    <w:next w:val="style3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34" w:type="paragraph">
    <w:name w:val="ConsPlusNormal"/>
    <w:next w:val="style34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35" w:type="paragraph">
    <w:name w:val="ConsPlusNonformat"/>
    <w:next w:val="style35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36" w:type="paragraph">
    <w:name w:val="Знак1"/>
    <w:basedOn w:val="style0"/>
    <w:next w:val="style36"/>
    <w:pPr/>
    <w:rPr/>
  </w:style>
  <w:style w:styleId="style37" w:type="paragraph">
    <w:name w:val="Balloon Text"/>
    <w:basedOn w:val="style0"/>
    <w:next w:val="style3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6B029AB4C641DE2C491DF0DC76A20163C5B4231A2FF77BEE6FEFD0A38SE7CL" TargetMode="External"/><Relationship Id="rId3" Type="http://schemas.openxmlformats.org/officeDocument/2006/relationships/hyperlink" Target="consultantplus://offline/ref=96B029AB4C641DE2C491C100D1067E1C3E571B3EA6FE79EBBBA3FB5D67BC623BC3S875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2015-09-24T12:33:00.00Z</dcterms:created>
  <dc:creator>Ольга Викторовна Жукова</dc:creator>
  <cp:lastModifiedBy>Ольга Викторовна Жукова</cp:lastModifiedBy>
  <cp:lastPrinted>2015-12-10T12:52:00.00Z</cp:lastPrinted>
  <dcterms:modified xsi:type="dcterms:W3CDTF">2015-12-10T12:52:00.00Z</dcterms:modified>
  <cp:revision>40</cp:revision>
</cp:coreProperties>
</file>